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(26.2.3. Etnografiniai regionai, kraštovaizdžio ir architektūros ypatybės)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Perskaitykite Kristinos Buidavaitės straipsnį</w:t>
      </w:r>
      <w:hyperlink r:id="rId8">
        <w:r w:rsidDel="00000000" w:rsidR="00000000" w:rsidRPr="00000000">
          <w:rPr>
            <w:rFonts w:ascii="Lexend" w:cs="Lexend" w:eastAsia="Lexend" w:hAnsi="Lexend"/>
            <w:color w:val="418d3f"/>
            <w:u w:val="single"/>
            <w:rtl w:val="0"/>
          </w:rPr>
          <w:t xml:space="preserve"> „Etnografinės sodybos – tik muziejuose?“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ir pasirenkite diskusijai pasirinkta tema: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573753"/>
                <wp:effectExtent b="0" l="0" r="0" t="0"/>
                <wp:wrapNone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573753"/>
                <wp:effectExtent b="0" l="0" r="0" t="0"/>
                <wp:wrapNone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5737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„Kaip, kuriant nauja, nesugadinti to, kas sena?“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„Su kokiais iššūkiais ir kodėl susiduria etnografinių kaimų gyventojai?“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„Ko šiuolaikinis žmogus ieško tradiciniame kaime?“</w:t>
      </w:r>
    </w:p>
    <w:p w:rsidR="00000000" w:rsidDel="00000000" w:rsidP="00000000" w:rsidRDefault="00000000" w:rsidRPr="00000000" w14:paraId="00000006">
      <w:p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300" w:lineRule="auto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300" w:lineRule="auto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Prisiminkite, kas būdinga </w:t>
      </w:r>
      <w:hyperlink r:id="rId10">
        <w:r w:rsidDel="00000000" w:rsidR="00000000" w:rsidRPr="00000000">
          <w:rPr>
            <w:rFonts w:ascii="Lexend" w:cs="Lexend" w:eastAsia="Lexend" w:hAnsi="Lexend"/>
            <w:color w:val="418d3f"/>
            <w:u w:val="single"/>
            <w:rtl w:val="0"/>
          </w:rPr>
          <w:t xml:space="preserve">diskusijai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. Pasinaudokite šiuo </w:t>
      </w:r>
      <w:hyperlink r:id="rId11">
        <w:r w:rsidDel="00000000" w:rsidR="00000000" w:rsidRPr="00000000">
          <w:rPr>
            <w:rFonts w:ascii="Lexend" w:cs="Lexend" w:eastAsia="Lexend" w:hAnsi="Lexend"/>
            <w:color w:val="418d3f"/>
            <w:u w:val="single"/>
            <w:rtl w:val="0"/>
          </w:rPr>
          <w:t xml:space="preserve">diskusijos šablonu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Kurią temą pasirinkote?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49930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499306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99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Kokią problemą diskusijai įvardijote?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287020</wp:posOffset>
                </wp:positionV>
                <wp:extent cx="6000750" cy="499306"/>
                <wp:effectExtent b="0" l="0" r="0" t="0"/>
                <wp:wrapSquare wrapText="bothSides" distB="45720" distT="45720" distL="114300" distR="114300"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287020</wp:posOffset>
                </wp:positionV>
                <wp:extent cx="6000750" cy="499306"/>
                <wp:effectExtent b="0" l="0" r="0" t="0"/>
                <wp:wrapSquare wrapText="bothSides" distB="45720" distT="45720" distL="114300" distR="114300"/>
                <wp:docPr id="19625208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99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Suformuluokite kelis teiginius šiai problemai paremti.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258237</wp:posOffset>
                </wp:positionV>
                <wp:extent cx="6000750" cy="1331779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258237</wp:posOffset>
                </wp:positionV>
                <wp:extent cx="6000750" cy="1331779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31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Koks diskusijos tikslas?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45720</wp:posOffset>
                </wp:positionV>
                <wp:extent cx="6000750" cy="1331779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45720</wp:posOffset>
                </wp:positionV>
                <wp:extent cx="6000750" cy="1331779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31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exend" w:cs="Lexend" w:eastAsia="Lexend" w:hAnsi="Lexend"/>
        <w:color w:val="1e1e1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ietuviu7-8.mkp.emokykla.lt/lt/mo/praktika_ir_kuryba/diskusija/" TargetMode="External"/><Relationship Id="rId10" Type="http://schemas.openxmlformats.org/officeDocument/2006/relationships/hyperlink" Target="https://lietuviu7-8.mkp.emokykla.lt/lt/mo/praktika_ir_kuryba/diskusija/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delfi.lt/verslas/nekilnojamas-turtas/etnografines-sodybos-tik-muziejuose-5450128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