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(25.4.1. Sakytinis, muzikinis ir žaidybinis folkloras)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Atlikite lankytinų vietų, kuriose šokami tradiciniai šokiai stebėjimą ir parašykite kūrybinį rašinį su savo įspūdžiais, kuriuos patyrėte stebėdami tradicinę folklorinę vakaronę, šokių klubo vakaronę, koncertą arba šventę.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538495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538495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538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Kokias lankytinas vietas, kur buvo šokami tradiciniai šokiai, aplankėte?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Savo kūrybinį rašinį su įspūdžiais pateikite čia.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240982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240982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 turite foto nuotrauką, iliustruojančią rašinį - įkelkite čia.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137380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137380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405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